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3279A" w14:textId="50D72ABF" w:rsidR="00967F8A" w:rsidRPr="008479D9" w:rsidRDefault="00967F8A" w:rsidP="00967F8A">
      <w:pPr>
        <w:pStyle w:val="3GPPHeader"/>
        <w:spacing w:after="60"/>
        <w:rPr>
          <w:sz w:val="32"/>
          <w:szCs w:val="32"/>
        </w:rPr>
      </w:pPr>
      <w:r w:rsidRPr="008479D9">
        <w:t>3GPP TSG-RAN WG2 #</w:t>
      </w:r>
      <w:r>
        <w:t>99</w:t>
      </w:r>
      <w:r w:rsidRPr="008479D9">
        <w:tab/>
      </w:r>
      <w:r w:rsidRPr="00B55B50">
        <w:rPr>
          <w:sz w:val="32"/>
          <w:szCs w:val="32"/>
        </w:rPr>
        <w:t xml:space="preserve">Tdoc </w:t>
      </w:r>
      <w:bookmarkStart w:id="0" w:name="_GoBack"/>
      <w:r w:rsidR="00B55B50" w:rsidRPr="00B55B50">
        <w:rPr>
          <w:sz w:val="32"/>
          <w:szCs w:val="32"/>
        </w:rPr>
        <w:t>R2-1708581</w:t>
      </w:r>
      <w:bookmarkEnd w:id="0"/>
    </w:p>
    <w:p w14:paraId="6AD30680" w14:textId="77777777" w:rsidR="00967F8A" w:rsidRDefault="00967F8A" w:rsidP="00967F8A">
      <w:pPr>
        <w:pStyle w:val="CRCoverPage"/>
        <w:outlineLvl w:val="0"/>
        <w:rPr>
          <w:b/>
          <w:noProof/>
          <w:sz w:val="24"/>
        </w:rPr>
      </w:pPr>
      <w:r>
        <w:rPr>
          <w:b/>
          <w:noProof/>
          <w:sz w:val="24"/>
        </w:rPr>
        <w:t>Berlin</w:t>
      </w:r>
      <w:r w:rsidRPr="008479D9">
        <w:rPr>
          <w:b/>
          <w:noProof/>
          <w:sz w:val="24"/>
        </w:rPr>
        <w:t xml:space="preserve">, </w:t>
      </w:r>
      <w:r>
        <w:rPr>
          <w:b/>
          <w:noProof/>
          <w:sz w:val="24"/>
        </w:rPr>
        <w:t>Germany</w:t>
      </w:r>
      <w:r w:rsidRPr="008479D9">
        <w:rPr>
          <w:b/>
          <w:noProof/>
          <w:sz w:val="24"/>
        </w:rPr>
        <w:t>, 2</w:t>
      </w:r>
      <w:r>
        <w:rPr>
          <w:b/>
          <w:noProof/>
          <w:sz w:val="24"/>
        </w:rPr>
        <w:t>1</w:t>
      </w:r>
      <w:r w:rsidRPr="00675788">
        <w:rPr>
          <w:b/>
          <w:noProof/>
          <w:sz w:val="24"/>
          <w:vertAlign w:val="superscript"/>
        </w:rPr>
        <w:t>st</w:t>
      </w:r>
      <w:r>
        <w:rPr>
          <w:b/>
          <w:noProof/>
          <w:sz w:val="24"/>
        </w:rPr>
        <w:t xml:space="preserve"> </w:t>
      </w:r>
      <w:r w:rsidRPr="008479D9">
        <w:rPr>
          <w:b/>
          <w:noProof/>
          <w:sz w:val="24"/>
        </w:rPr>
        <w:t>– 2</w:t>
      </w:r>
      <w:r>
        <w:rPr>
          <w:b/>
          <w:noProof/>
          <w:sz w:val="24"/>
        </w:rPr>
        <w:t>5</w:t>
      </w:r>
      <w:r w:rsidRPr="008479D9">
        <w:rPr>
          <w:b/>
          <w:noProof/>
          <w:sz w:val="24"/>
          <w:vertAlign w:val="superscript"/>
        </w:rPr>
        <w:t>th</w:t>
      </w:r>
      <w:r w:rsidRPr="008479D9">
        <w:rPr>
          <w:b/>
          <w:noProof/>
          <w:sz w:val="24"/>
        </w:rPr>
        <w:t xml:space="preserve"> </w:t>
      </w:r>
      <w:r>
        <w:rPr>
          <w:b/>
          <w:noProof/>
          <w:sz w:val="24"/>
        </w:rPr>
        <w:t>August</w:t>
      </w:r>
      <w:r w:rsidRPr="008479D9">
        <w:rPr>
          <w:b/>
          <w:noProof/>
          <w:sz w:val="24"/>
        </w:rPr>
        <w:t xml:space="preserve"> 2017</w:t>
      </w:r>
    </w:p>
    <w:p w14:paraId="3BAF7A0E" w14:textId="77777777" w:rsidR="00A176D6" w:rsidRPr="00967F8A" w:rsidRDefault="00A176D6" w:rsidP="00A176D6">
      <w:pPr>
        <w:pStyle w:val="3GPPHeader"/>
      </w:pPr>
    </w:p>
    <w:p w14:paraId="55EA3377" w14:textId="545F06AC" w:rsidR="00A176D6" w:rsidRPr="00AB2AD5" w:rsidRDefault="00A176D6" w:rsidP="00A176D6">
      <w:pPr>
        <w:pStyle w:val="3GPPHeader"/>
        <w:rPr>
          <w:sz w:val="22"/>
          <w:szCs w:val="22"/>
          <w:lang w:val="en-US"/>
        </w:rPr>
      </w:pPr>
      <w:r w:rsidRPr="00373180">
        <w:rPr>
          <w:sz w:val="22"/>
          <w:szCs w:val="22"/>
          <w:lang w:val="en-US"/>
        </w:rPr>
        <w:t>Agenda Item:</w:t>
      </w:r>
      <w:r w:rsidRPr="00373180">
        <w:rPr>
          <w:sz w:val="22"/>
          <w:szCs w:val="22"/>
          <w:lang w:val="en-US"/>
        </w:rPr>
        <w:tab/>
      </w:r>
      <w:r w:rsidR="00CA330C" w:rsidRPr="0039042B">
        <w:t>10.4.1.4.7</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5C2126C5" w:rsidR="00A176D6" w:rsidRPr="00CE0424" w:rsidRDefault="00A176D6" w:rsidP="00A176D6">
      <w:pPr>
        <w:pStyle w:val="3GPPHeader"/>
        <w:rPr>
          <w:sz w:val="22"/>
          <w:szCs w:val="22"/>
        </w:rPr>
      </w:pPr>
      <w:r>
        <w:rPr>
          <w:sz w:val="22"/>
          <w:szCs w:val="22"/>
        </w:rPr>
        <w:t>Title:</w:t>
      </w:r>
      <w:r w:rsidRPr="00CE0424">
        <w:rPr>
          <w:sz w:val="22"/>
          <w:szCs w:val="22"/>
        </w:rPr>
        <w:tab/>
      </w:r>
      <w:r w:rsidR="009D2AD4">
        <w:t>ANR framework in NR</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3F9B9148"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radio network entities. Such relations are used to establish connections between entities, support mobility, load balancing, dual connectivity, etc., and ANR is seen as significantly reducing the planning and operation costs for operators [2]. Therefore, it is our understanding that automatic establishment of relations will continue to be</w:t>
      </w:r>
      <w:r w:rsidR="00524688">
        <w:t xml:space="preserve"> an</w:t>
      </w:r>
      <w:r w:rsidR="0055719E">
        <w:t xml:space="preserve"> important</w:t>
      </w:r>
      <w:r w:rsidR="00524688">
        <w:t xml:space="preserve"> feature</w:t>
      </w:r>
      <w:r w:rsidR="0055719E">
        <w:t xml:space="preserve"> in NR networks.</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35A5FD0A" w:rsidR="0040200D" w:rsidRDefault="0040200D" w:rsidP="0055719E">
      <w:pPr>
        <w:pStyle w:val="BodyText"/>
      </w:pPr>
      <w:r>
        <w:rPr>
          <w:noProof/>
          <w:lang w:val="en-US" w:eastAsia="en-US"/>
        </w:rPr>
        <mc:AlternateContent>
          <mc:Choice Requires="wps">
            <w:drawing>
              <wp:anchor distT="0" distB="0" distL="114300" distR="114300" simplePos="0" relativeHeight="251659264" behindDoc="0" locked="0" layoutInCell="1" allowOverlap="1" wp14:anchorId="2C2E3728" wp14:editId="11CA0D49">
                <wp:simplePos x="0" y="0"/>
                <wp:positionH relativeFrom="margin">
                  <wp:align>left</wp:align>
                </wp:positionH>
                <wp:positionV relativeFrom="paragraph">
                  <wp:posOffset>201930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0;margin-top:15.9pt;width:477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" filled="f" strokeweight=".5pt">
                <v:textbox style="mso-fit-shape-to-text:t">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In RAN1#88, it was agreed that;</w:t>
      </w:r>
    </w:p>
    <w:p w14:paraId="7FC049C7" w14:textId="77777777" w:rsidR="0040200D" w:rsidRDefault="0040200D" w:rsidP="00081D62">
      <w:pPr>
        <w:pStyle w:val="BodyText"/>
      </w:pPr>
    </w:p>
    <w:p w14:paraId="2B033EF7" w14:textId="394925BA" w:rsidR="007560C0" w:rsidRDefault="0040200D" w:rsidP="00081D62">
      <w:pPr>
        <w:pStyle w:val="BodyText"/>
      </w:pPr>
      <w:r>
        <w:t xml:space="preserve">In this </w:t>
      </w:r>
      <w:r w:rsidR="0055719E">
        <w:t>paper</w:t>
      </w:r>
      <w:r>
        <w:t>, further details of how the UE could aid the neighbour relation establishment process is provided and scenarios wherein the UE fails to identify a neighbouring cell is provided</w:t>
      </w:r>
      <w:r w:rsidR="0055719E">
        <w:t>.</w:t>
      </w:r>
    </w:p>
    <w:p w14:paraId="1281B722" w14:textId="16545B13" w:rsidR="006425C6" w:rsidRDefault="004000E8" w:rsidP="006425C6">
      <w:pPr>
        <w:pStyle w:val="Heading1"/>
      </w:pPr>
      <w:bookmarkStart w:id="1" w:name="_Ref178064866"/>
      <w:r w:rsidRPr="00CE0424">
        <w:t>Discussion</w:t>
      </w:r>
      <w:bookmarkEnd w:id="1"/>
    </w:p>
    <w:p w14:paraId="17147B78" w14:textId="639A5FC7" w:rsidR="00AA0139" w:rsidRPr="00AA0139" w:rsidRDefault="007A164C" w:rsidP="00AC5FFA">
      <w:pPr>
        <w:pStyle w:val="Heading2"/>
      </w:pPr>
      <w:r>
        <w:t>I</w:t>
      </w:r>
      <w:r w:rsidR="00AA0139">
        <w:t xml:space="preserve">dentifiers </w:t>
      </w:r>
      <w:r>
        <w:t xml:space="preserve">for ANR </w:t>
      </w:r>
      <w:r w:rsidR="00622502">
        <w:t>establishment</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6719FCAA" w:rsidR="0055719E" w:rsidRPr="00A87C47" w:rsidRDefault="0055719E" w:rsidP="0055719E">
      <w:pPr>
        <w:pStyle w:val="BodyText"/>
        <w:rPr>
          <w:b/>
        </w:rPr>
      </w:pPr>
      <w:r>
        <w:t>Once the UE perform</w:t>
      </w:r>
      <w:r w:rsidR="007A164C">
        <w:t>s</w:t>
      </w:r>
      <w:r>
        <w:t xml:space="preserve">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eNB ID and cell ID).</w:t>
      </w:r>
    </w:p>
    <w:p w14:paraId="292D4C8C" w14:textId="7A500616"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these values</w:t>
      </w:r>
      <w:r>
        <w:t xml:space="preserve">, the UE reports the detected ECGI to the serving eNB, and the eNB decides </w:t>
      </w:r>
      <w:r w:rsidR="0069133C">
        <w:t xml:space="preserve">to add this neighbour </w:t>
      </w:r>
      <w:r w:rsidR="0069133C">
        <w:lastRenderedPageBreak/>
        <w:t>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en-US" w:eastAsia="en-US"/>
        </w:rPr>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6D3D0E07" w:rsidR="00D247FF" w:rsidRPr="004158C2" w:rsidRDefault="00D247FF" w:rsidP="004158C2">
      <w:pPr>
        <w:pStyle w:val="Caption"/>
        <w:rPr>
          <w:b w:val="0"/>
          <w:lang w:val="en-US"/>
        </w:rPr>
      </w:pPr>
      <w:bookmarkStart w:id="2" w:name="_Ref462997797"/>
      <w:r>
        <w:t xml:space="preserve">Figure </w:t>
      </w:r>
      <w:r>
        <w:fldChar w:fldCharType="begin"/>
      </w:r>
      <w:r>
        <w:instrText xml:space="preserve"> SEQ Figure \* ARABIC </w:instrText>
      </w:r>
      <w:r>
        <w:fldChar w:fldCharType="separate"/>
      </w:r>
      <w:r>
        <w:rPr>
          <w:noProof/>
        </w:rPr>
        <w:t>1</w:t>
      </w:r>
      <w:r>
        <w:fldChar w:fldCharType="end"/>
      </w:r>
      <w:bookmarkEnd w:id="2"/>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718A002F" w14:textId="3CE0E644" w:rsidR="00CB27CF" w:rsidRDefault="00CB27CF" w:rsidP="00CB27CF">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w:t>
      </w:r>
      <w:r w:rsidR="00B756D5">
        <w:rPr>
          <w:b/>
        </w:rPr>
        <w:t>, TAC, and all available PLMN ID(s)</w:t>
      </w:r>
      <w:r>
        <w:rPr>
          <w:b/>
        </w:rPr>
        <w:t xml:space="preserve"> associated to a previously reported local identifier (PCI).</w:t>
      </w:r>
    </w:p>
    <w:p w14:paraId="1B8AE212" w14:textId="679714FC"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In LTE, this Global ID, the ECGI, is not necessary as often as the PCI. Therefore, it is transmitted in SIB1 every 80 ms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11870336" w14:textId="5CB13A2D" w:rsidR="007075A7" w:rsidRDefault="00A87C47" w:rsidP="00A87C47">
      <w:pPr>
        <w:pStyle w:val="BodyText"/>
      </w:pPr>
      <w:r>
        <w:t>In RAN2</w:t>
      </w:r>
      <w:r w:rsidR="00BB4C80">
        <w:t>#97</w:t>
      </w:r>
      <w:r w:rsidR="007075A7">
        <w:t xml:space="preserve"> NR meeting in </w:t>
      </w:r>
      <w:r w:rsidR="00BB4C80">
        <w:t>Athens</w:t>
      </w:r>
      <w:r>
        <w:t xml:space="preserve">, </w:t>
      </w:r>
      <w:r w:rsidR="007075A7">
        <w:t xml:space="preserve">it was noted that </w:t>
      </w:r>
      <w:r w:rsidR="00BB4C80">
        <w:t xml:space="preserve">an RRC_CONNECTED UE should be able to perform RRM measurements on </w:t>
      </w:r>
      <w:r w:rsidR="007A164C">
        <w:t xml:space="preserve">the so-called </w:t>
      </w:r>
      <w:r w:rsidR="00BB4C80">
        <w:t>IDLE RS</w:t>
      </w:r>
      <w:r w:rsidR="007A164C">
        <w:t>, later renamed to an NR-SS Block.</w:t>
      </w:r>
      <w:r w:rsidR="007A164C" w:rsidDel="007A164C">
        <w:t xml:space="preserve"> </w:t>
      </w:r>
    </w:p>
    <w:p w14:paraId="1B956E65" w14:textId="7621C890" w:rsidR="007075A7" w:rsidRDefault="007075A7" w:rsidP="00A87C47">
      <w:pPr>
        <w:pStyle w:val="BodyText"/>
      </w:pPr>
      <w:r>
        <w:rPr>
          <w:noProof/>
          <w:lang w:val="en-US" w:eastAsia="en-US"/>
        </w:rPr>
        <mc:AlternateContent>
          <mc:Choice Requires="wps">
            <w:drawing>
              <wp:anchor distT="0" distB="0" distL="114300" distR="114300" simplePos="0" relativeHeight="251657216"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82CDC" id="Text Box 1" o:spid="_x0000_s1027" type="#_x0000_t202" style="position:absolute;left:0;text-align:left;margin-left:0;margin-top:0;width:2in;height:2in;z-index:251657216;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v:textbox>
                <w10:wrap type="square"/>
              </v:shape>
            </w:pict>
          </mc:Fallback>
        </mc:AlternateContent>
      </w:r>
    </w:p>
    <w:p w14:paraId="6F1873BA" w14:textId="258E8BEB" w:rsidR="00BB4C80" w:rsidRDefault="007A164C" w:rsidP="00A87C47">
      <w:pPr>
        <w:pStyle w:val="BodyText"/>
      </w:pPr>
      <w:r>
        <w:t xml:space="preserve">The measurement reports based on SS Blocks including cell measurement results will likely be associated to local identifiers (like the LTE PCIs) </w:t>
      </w:r>
      <w:r w:rsidR="00BB4C80">
        <w:t>that the UE has measured.</w:t>
      </w:r>
      <w:r w:rsidR="00F94784">
        <w:t xml:space="preserve"> Based on such a measurement report, if the serving </w:t>
      </w:r>
      <w:r>
        <w:t xml:space="preserve">gNodeB </w:t>
      </w:r>
      <w:r w:rsidR="00F94784">
        <w:t>do</w:t>
      </w:r>
      <w:r>
        <w:t>es</w:t>
      </w:r>
      <w:r w:rsidR="00F94784">
        <w:t xml:space="preserve"> not </w:t>
      </w:r>
      <w:r>
        <w:t xml:space="preserve">recognize </w:t>
      </w:r>
      <w:r w:rsidR="00F94784">
        <w:t xml:space="preserve">the reported PCI in its neighbour relation list, then the serving </w:t>
      </w:r>
      <w:r>
        <w:t xml:space="preserve">gNodeB </w:t>
      </w:r>
      <w:r w:rsidR="00F94784">
        <w:t xml:space="preserve">could reuse the </w:t>
      </w:r>
      <w:r w:rsidR="008248BD" w:rsidRPr="0039042B">
        <w:t>globally unique identifier</w:t>
      </w:r>
      <w:r w:rsidR="008248BD">
        <w:t xml:space="preserve"> </w:t>
      </w:r>
      <w:r w:rsidR="00B756D5">
        <w:t>, TAC and PLMN ID(s)</w:t>
      </w:r>
      <w:r w:rsidR="00F94784">
        <w:t xml:space="preserve"> measurement and reporting procedure for the UE, as listed in LTE, for NR neighbour relation establishment also. </w:t>
      </w:r>
    </w:p>
    <w:p w14:paraId="5FC375ED" w14:textId="689A863E" w:rsidR="00E4782A" w:rsidRPr="003065F6" w:rsidRDefault="00BB4C80">
      <w:pPr>
        <w:pStyle w:val="BodyText"/>
        <w:numPr>
          <w:ilvl w:val="0"/>
          <w:numId w:val="25"/>
        </w:numPr>
        <w:ind w:left="1560" w:hanging="1560"/>
        <w:rPr>
          <w:b/>
        </w:rPr>
      </w:pPr>
      <w:r>
        <w:rPr>
          <w:b/>
        </w:rPr>
        <w:t xml:space="preserve">The RRM measurements on </w:t>
      </w:r>
      <w:r w:rsidR="007A164C">
        <w:rPr>
          <w:b/>
        </w:rPr>
        <w:t xml:space="preserve">SS Blocks </w:t>
      </w:r>
      <w:r>
        <w:rPr>
          <w:b/>
        </w:rPr>
        <w:t>are expected to be reported as per the measured PCI values by the UE</w:t>
      </w:r>
      <w:r w:rsidRPr="00A87C47">
        <w:rPr>
          <w:b/>
        </w:rPr>
        <w:t>.</w:t>
      </w:r>
    </w:p>
    <w:p w14:paraId="56F8416F" w14:textId="0B1CEA7E" w:rsidR="00F94784" w:rsidRDefault="00F94784" w:rsidP="00F94784">
      <w:pPr>
        <w:pStyle w:val="BodyText"/>
        <w:numPr>
          <w:ilvl w:val="0"/>
          <w:numId w:val="25"/>
        </w:numPr>
        <w:ind w:left="1560" w:hanging="1560"/>
        <w:rPr>
          <w:b/>
        </w:rPr>
      </w:pPr>
      <w:r>
        <w:rPr>
          <w:b/>
        </w:rPr>
        <w:t xml:space="preserve">The neighbour relation establishment procedure based on the UE reporting the </w:t>
      </w:r>
      <w:r w:rsidR="008248BD">
        <w:rPr>
          <w:b/>
        </w:rPr>
        <w:t xml:space="preserve">globally unique identifier </w:t>
      </w:r>
      <w:r w:rsidR="00B756D5">
        <w:rPr>
          <w:b/>
        </w:rPr>
        <w:t>, TAC and all available PLMN ID(s)</w:t>
      </w:r>
      <w:r>
        <w:rPr>
          <w:b/>
        </w:rPr>
        <w:t xml:space="preserve"> of the unknown cell as listed in LTE can be re-used for NR also</w:t>
      </w:r>
      <w:r w:rsidRPr="00A87C47">
        <w:rPr>
          <w:b/>
        </w:rPr>
        <w:t>.</w:t>
      </w:r>
    </w:p>
    <w:p w14:paraId="636D02DA" w14:textId="6F5CA1D0" w:rsidR="0014650D" w:rsidRPr="00C47863" w:rsidRDefault="0014650D" w:rsidP="00C47863">
      <w:pPr>
        <w:pStyle w:val="BodyText"/>
      </w:pPr>
      <w:r w:rsidRPr="00C47863">
        <w:t>It is our understanding that the</w:t>
      </w:r>
      <w:r>
        <w:t xml:space="preserve"> information required to derive the </w:t>
      </w:r>
      <w:r w:rsidR="00C81E56">
        <w:t xml:space="preserve">globally unique identifier, GID, </w:t>
      </w:r>
      <w:r>
        <w:t>are provided in NR as part of the SIB1 message as well.</w:t>
      </w:r>
      <w:r w:rsidR="00F7704B">
        <w:t xml:space="preserve"> </w:t>
      </w:r>
      <w:r w:rsidR="00C81E56">
        <w:t xml:space="preserve">However, this has not been agreed yet. It can be discussed further </w:t>
      </w:r>
      <w:r w:rsidR="00C81E56">
        <w:lastRenderedPageBreak/>
        <w:t>as to how is the GID is structured (number of bits, what sub-identifiers does it encompass in what position like PLMN ID, CID etc. ) in NR and if it is of similar nature as ECGI of LTE or not.</w:t>
      </w:r>
      <w:r w:rsidR="00F7704B">
        <w:t xml:space="preserve"> </w:t>
      </w:r>
      <w:r w:rsidRPr="002176CE">
        <w:t xml:space="preserve"> </w:t>
      </w:r>
    </w:p>
    <w:p w14:paraId="2DC69903" w14:textId="4A1EFA32" w:rsidR="00C81E56" w:rsidRPr="00C81E56" w:rsidRDefault="0014650D" w:rsidP="00C81E56">
      <w:pPr>
        <w:pStyle w:val="BodyText"/>
        <w:numPr>
          <w:ilvl w:val="0"/>
          <w:numId w:val="25"/>
        </w:numPr>
        <w:ind w:left="1560" w:hanging="1560"/>
        <w:rPr>
          <w:b/>
        </w:rPr>
      </w:pPr>
      <w:r>
        <w:rPr>
          <w:b/>
        </w:rPr>
        <w:t xml:space="preserve">The information elements </w:t>
      </w:r>
      <w:r w:rsidRPr="00C47863">
        <w:rPr>
          <w:b/>
        </w:rPr>
        <w:t xml:space="preserve">required to derive the </w:t>
      </w:r>
      <w:r w:rsidR="00C81E56">
        <w:rPr>
          <w:b/>
        </w:rPr>
        <w:t>Global Identifier, GID</w:t>
      </w:r>
      <w:r w:rsidRPr="00C47863">
        <w:rPr>
          <w:b/>
        </w:rPr>
        <w:t xml:space="preserve"> are provided in NR as </w:t>
      </w:r>
      <w:r>
        <w:rPr>
          <w:b/>
        </w:rPr>
        <w:t xml:space="preserve">expected to be </w:t>
      </w:r>
      <w:r w:rsidRPr="00C47863">
        <w:rPr>
          <w:b/>
        </w:rPr>
        <w:t>part of the SIB1 message</w:t>
      </w:r>
      <w:r>
        <w:rPr>
          <w:b/>
        </w:rPr>
        <w:t xml:space="preserve">.  </w:t>
      </w:r>
    </w:p>
    <w:p w14:paraId="6148EAC2" w14:textId="53F13C4F" w:rsidR="00A0792F" w:rsidRPr="00C81E56" w:rsidRDefault="00F94784" w:rsidP="00F94784">
      <w:pPr>
        <w:pStyle w:val="Proposal"/>
      </w:pPr>
      <w:r>
        <w:rPr>
          <w:lang w:val="en-US"/>
        </w:rPr>
        <w:t xml:space="preserve">As in LTE, </w:t>
      </w:r>
      <w:r w:rsidR="007A164C">
        <w:rPr>
          <w:lang w:val="en-US"/>
        </w:rPr>
        <w:t xml:space="preserve">network can configure the UE </w:t>
      </w:r>
      <w:r>
        <w:rPr>
          <w:lang w:val="en-US"/>
        </w:rPr>
        <w:t xml:space="preserve">to read and report the neighboring cell’s </w:t>
      </w:r>
      <w:r w:rsidR="00C81E56">
        <w:rPr>
          <w:lang w:val="en-US"/>
        </w:rPr>
        <w:t>Global identifier (GID)</w:t>
      </w:r>
      <w:r w:rsidR="008248BD">
        <w:rPr>
          <w:lang w:val="en-US"/>
        </w:rPr>
        <w:t>, TAC and all available PLMN ID(s)</w:t>
      </w:r>
      <w:r w:rsidR="00F97F0A">
        <w:rPr>
          <w:lang w:val="en-US"/>
        </w:rPr>
        <w:t xml:space="preserve"> to aid neighbor relation establishment procedure in NR</w:t>
      </w:r>
      <w:r>
        <w:rPr>
          <w:lang w:val="en-US"/>
        </w:rPr>
        <w:t>.</w:t>
      </w:r>
    </w:p>
    <w:p w14:paraId="277A26D2" w14:textId="58589B1A" w:rsidR="00951030" w:rsidRDefault="00C81E56" w:rsidP="0039042B">
      <w:pPr>
        <w:pStyle w:val="Proposal"/>
        <w:numPr>
          <w:ilvl w:val="2"/>
          <w:numId w:val="3"/>
        </w:numPr>
      </w:pPr>
      <w:r>
        <w:t>It is FFS as to whether structure of GID is same as the structure of ECGI in LTE or not.</w:t>
      </w:r>
    </w:p>
    <w:p w14:paraId="10F47C2B" w14:textId="41FE7EDA" w:rsidR="00951030" w:rsidRPr="0039042B" w:rsidRDefault="00951030" w:rsidP="0039042B">
      <w:pPr>
        <w:pStyle w:val="BodyText"/>
      </w:pPr>
      <w:r w:rsidRPr="00951030">
        <w:t>It should f</w:t>
      </w:r>
      <w:r w:rsidRPr="0039042B">
        <w:t>urther be straightforward to re</w:t>
      </w:r>
      <w:r w:rsidRPr="00951030">
        <w:t>use the same solution for detecting NR neighbours from LTE</w:t>
      </w:r>
      <w:r w:rsidRPr="0039042B">
        <w:t xml:space="preserve"> using IRAT ANR</w:t>
      </w:r>
      <w:r>
        <w:t xml:space="preserve"> functionality</w:t>
      </w:r>
      <w:r w:rsidRPr="0039042B">
        <w:t xml:space="preserve">. </w:t>
      </w:r>
    </w:p>
    <w:p w14:paraId="0E4C4508" w14:textId="595021A8" w:rsidR="00951030" w:rsidRPr="00C81E56" w:rsidRDefault="00951030" w:rsidP="00951030">
      <w:pPr>
        <w:pStyle w:val="Proposal"/>
      </w:pPr>
      <w:r>
        <w:rPr>
          <w:lang w:val="en-US"/>
        </w:rPr>
        <w:t>LTE IRAT ANR procedure should support for UEs to read and report the neighboring NR cell’s Global identifier (GID), TAC and all available PLMN ID(s) to aid neighbor relation establishment.</w:t>
      </w:r>
    </w:p>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3D8A6184" w14:textId="77777777" w:rsidR="00563637" w:rsidRDefault="00563637" w:rsidP="0039042B">
      <w:pPr>
        <w:pStyle w:val="BodyText"/>
        <w:numPr>
          <w:ilvl w:val="0"/>
          <w:numId w:val="40"/>
        </w:numPr>
        <w:ind w:left="1701" w:hanging="1701"/>
        <w:rPr>
          <w:b/>
        </w:rPr>
      </w:pPr>
      <w:r w:rsidRPr="00A87C47">
        <w:rPr>
          <w:b/>
        </w:rPr>
        <w:t>In LTE, the UE reports to the serving eNB measurement reports associated to local</w:t>
      </w:r>
      <w:r>
        <w:rPr>
          <w:b/>
        </w:rPr>
        <w:t>ly</w:t>
      </w:r>
      <w:r w:rsidRPr="00A87C47">
        <w:rPr>
          <w:b/>
        </w:rPr>
        <w:t xml:space="preserve"> unique identifiers (e.g. PCIs).</w:t>
      </w:r>
    </w:p>
    <w:p w14:paraId="00CBE6F7" w14:textId="77777777" w:rsidR="00563637" w:rsidRPr="00CB27CF" w:rsidRDefault="00563637" w:rsidP="0039042B">
      <w:pPr>
        <w:pStyle w:val="BodyText"/>
        <w:numPr>
          <w:ilvl w:val="0"/>
          <w:numId w:val="40"/>
        </w:numPr>
        <w:ind w:left="1701" w:hanging="1701"/>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29683553" w14:textId="58BE141D" w:rsidR="00563637" w:rsidRDefault="00563637" w:rsidP="0039042B">
      <w:pPr>
        <w:pStyle w:val="BodyText"/>
        <w:numPr>
          <w:ilvl w:val="0"/>
          <w:numId w:val="40"/>
        </w:numPr>
        <w:ind w:left="1701" w:hanging="1701"/>
        <w:rPr>
          <w:b/>
        </w:rPr>
      </w:pPr>
      <w:r w:rsidRPr="00A87C47">
        <w:rPr>
          <w:b/>
        </w:rPr>
        <w:t xml:space="preserve">In LTE, </w:t>
      </w:r>
      <w:r>
        <w:rPr>
          <w:b/>
        </w:rPr>
        <w:t xml:space="preserve">a serving eNB can request the </w:t>
      </w:r>
      <w:r w:rsidRPr="00A87C47">
        <w:rPr>
          <w:b/>
        </w:rPr>
        <w:t xml:space="preserve">UE </w:t>
      </w:r>
      <w:r>
        <w:rPr>
          <w:b/>
        </w:rPr>
        <w:t>to acquire a global identifier (e.g. ECGI)</w:t>
      </w:r>
      <w:r w:rsidR="008248BD">
        <w:rPr>
          <w:b/>
        </w:rPr>
        <w:t>, TAC, and all available PLMN ID(s)</w:t>
      </w:r>
      <w:r>
        <w:rPr>
          <w:b/>
        </w:rPr>
        <w:t xml:space="preserve"> associated to a previously reported local identifier (PCI).</w:t>
      </w:r>
    </w:p>
    <w:p w14:paraId="175B8BBF" w14:textId="2ECC883E" w:rsidR="00563637" w:rsidRPr="00C47863" w:rsidRDefault="00563637" w:rsidP="0039042B">
      <w:pPr>
        <w:pStyle w:val="BodyText"/>
        <w:numPr>
          <w:ilvl w:val="0"/>
          <w:numId w:val="40"/>
        </w:numPr>
        <w:ind w:left="1701" w:hanging="1701"/>
        <w:rPr>
          <w:b/>
        </w:rPr>
      </w:pPr>
      <w:r>
        <w:rPr>
          <w:b/>
        </w:rPr>
        <w:t>In LTE, a globally unique identifier (ECGI) is broadcasted in SIB1 and can be associated to a locally unique identifier (PCI).</w:t>
      </w:r>
    </w:p>
    <w:p w14:paraId="2E0CE4AC" w14:textId="13DBF07D" w:rsidR="00563637" w:rsidRPr="00D3176C" w:rsidRDefault="00563637" w:rsidP="0039042B">
      <w:pPr>
        <w:pStyle w:val="BodyText"/>
        <w:numPr>
          <w:ilvl w:val="0"/>
          <w:numId w:val="40"/>
        </w:numPr>
        <w:ind w:left="1701" w:hanging="1701"/>
        <w:rPr>
          <w:b/>
        </w:rPr>
      </w:pPr>
      <w:r>
        <w:rPr>
          <w:b/>
        </w:rPr>
        <w:t>In LTE, a globally unique identifier (ECGI) is broadcasted with a larger periodicity than the locally unique identifier (PCI).</w:t>
      </w:r>
    </w:p>
    <w:p w14:paraId="04B6C4A8" w14:textId="77777777" w:rsidR="00563637" w:rsidRPr="003065F6" w:rsidRDefault="00563637" w:rsidP="0039042B">
      <w:pPr>
        <w:pStyle w:val="BodyText"/>
        <w:numPr>
          <w:ilvl w:val="0"/>
          <w:numId w:val="40"/>
        </w:numPr>
        <w:ind w:left="1701" w:hanging="1701"/>
        <w:rPr>
          <w:b/>
        </w:rPr>
      </w:pPr>
      <w:r>
        <w:rPr>
          <w:b/>
        </w:rPr>
        <w:t>The RRM measurements on IDLE RSs are expected to be reported as per the measured PCI values by the UE</w:t>
      </w:r>
      <w:r w:rsidRPr="00A87C47">
        <w:rPr>
          <w:b/>
        </w:rPr>
        <w:t>.</w:t>
      </w:r>
    </w:p>
    <w:p w14:paraId="72A317E0" w14:textId="68A39304" w:rsidR="00563637" w:rsidRDefault="00563637" w:rsidP="0039042B">
      <w:pPr>
        <w:pStyle w:val="BodyText"/>
        <w:numPr>
          <w:ilvl w:val="0"/>
          <w:numId w:val="40"/>
        </w:numPr>
        <w:ind w:left="1701" w:hanging="1701"/>
        <w:rPr>
          <w:b/>
        </w:rPr>
      </w:pPr>
      <w:r>
        <w:rPr>
          <w:b/>
        </w:rPr>
        <w:t xml:space="preserve">The neighbour relation establishment procedure based on the UE reporting the </w:t>
      </w:r>
      <w:r w:rsidR="008248BD">
        <w:rPr>
          <w:b/>
        </w:rPr>
        <w:t xml:space="preserve">globally unique identifier , TAC and all available PLMN ID(s) </w:t>
      </w:r>
      <w:r>
        <w:rPr>
          <w:b/>
        </w:rPr>
        <w:t>of the unknown cell as listed in LTE can be re-used for NR also</w:t>
      </w:r>
      <w:r w:rsidRPr="00A87C47">
        <w:rPr>
          <w:b/>
        </w:rPr>
        <w:t>.</w:t>
      </w:r>
    </w:p>
    <w:p w14:paraId="3E6329DA" w14:textId="77777777" w:rsidR="00563637" w:rsidRDefault="00563637" w:rsidP="0039042B">
      <w:pPr>
        <w:pStyle w:val="BodyText"/>
        <w:numPr>
          <w:ilvl w:val="0"/>
          <w:numId w:val="40"/>
        </w:numPr>
        <w:ind w:left="1701" w:hanging="1701"/>
        <w:rPr>
          <w:b/>
        </w:rPr>
      </w:pPr>
      <w:r>
        <w:rPr>
          <w:b/>
        </w:rPr>
        <w:t xml:space="preserve">The information elements </w:t>
      </w:r>
      <w:r w:rsidRPr="007F40C8">
        <w:rPr>
          <w:b/>
        </w:rPr>
        <w:t>required to derive the ECGI (PLMN ID and the Cell</w:t>
      </w:r>
      <w:r>
        <w:rPr>
          <w:b/>
        </w:rPr>
        <w:t xml:space="preserve"> </w:t>
      </w:r>
      <w:r w:rsidRPr="007F40C8">
        <w:rPr>
          <w:b/>
        </w:rPr>
        <w:t xml:space="preserve">Identity) are provided in NR as </w:t>
      </w:r>
      <w:r>
        <w:rPr>
          <w:b/>
        </w:rPr>
        <w:t xml:space="preserve">expected to be </w:t>
      </w:r>
      <w:r w:rsidRPr="007F40C8">
        <w:rPr>
          <w:b/>
        </w:rPr>
        <w:t>part of the SIB1 message</w:t>
      </w:r>
      <w:r>
        <w:rPr>
          <w:b/>
        </w:rPr>
        <w:t xml:space="preserve">.  </w:t>
      </w:r>
    </w:p>
    <w:p w14:paraId="7D2B22A8" w14:textId="77777777" w:rsidR="004158C2" w:rsidRDefault="004158C2" w:rsidP="004158C2">
      <w:pPr>
        <w:pStyle w:val="BodyText"/>
      </w:pPr>
    </w:p>
    <w:p w14:paraId="16745B98" w14:textId="348435F8" w:rsidR="004158C2" w:rsidRDefault="004158C2" w:rsidP="004158C2">
      <w:pPr>
        <w:pStyle w:val="BodyText"/>
      </w:pPr>
      <w:r>
        <w:t>Based on these observations, we have proposed the following:</w:t>
      </w:r>
    </w:p>
    <w:p w14:paraId="610AAA53" w14:textId="664BE501" w:rsidR="00563637" w:rsidRPr="003B5DF1" w:rsidRDefault="00563637" w:rsidP="0039042B">
      <w:pPr>
        <w:pStyle w:val="Proposal"/>
        <w:numPr>
          <w:ilvl w:val="0"/>
          <w:numId w:val="41"/>
        </w:numPr>
        <w:ind w:left="1701" w:hanging="1701"/>
      </w:pPr>
      <w:r w:rsidRPr="00563637">
        <w:rPr>
          <w:lang w:val="en-US"/>
        </w:rPr>
        <w:t xml:space="preserve">As in LTE for the ECGI reading and reporting procedure, a UE in NR should be able to read and report the neighboring cell’s </w:t>
      </w:r>
      <w:r w:rsidR="008248BD">
        <w:rPr>
          <w:lang w:val="en-US"/>
        </w:rPr>
        <w:t>Global identifier (GID), TAC and all available PLMN ID(s)</w:t>
      </w:r>
      <w:r w:rsidRPr="00563637">
        <w:rPr>
          <w:lang w:val="en-US"/>
        </w:rPr>
        <w:t xml:space="preserve"> to aid neighbor relation establishment procedure in NR.</w:t>
      </w:r>
    </w:p>
    <w:p w14:paraId="74EEAEBF" w14:textId="09B0DB68" w:rsidR="003B5DF1" w:rsidRDefault="003B5DF1" w:rsidP="0039042B">
      <w:pPr>
        <w:pStyle w:val="Proposal"/>
        <w:numPr>
          <w:ilvl w:val="2"/>
          <w:numId w:val="41"/>
        </w:numPr>
      </w:pPr>
      <w:r>
        <w:t>It is FFS as to whether structure of GID is same as the structure of ECGI in LTE or not.</w:t>
      </w:r>
    </w:p>
    <w:p w14:paraId="60DDCE4A" w14:textId="71906D81" w:rsidR="00951030" w:rsidRPr="008B6D83" w:rsidRDefault="00951030" w:rsidP="0039042B">
      <w:pPr>
        <w:pStyle w:val="Proposal"/>
        <w:numPr>
          <w:ilvl w:val="0"/>
          <w:numId w:val="41"/>
        </w:numPr>
        <w:ind w:left="1701" w:hanging="1701"/>
      </w:pPr>
      <w:r w:rsidRPr="00951030">
        <w:rPr>
          <w:lang w:val="en-US"/>
        </w:rPr>
        <w:t>LTE IRAT ANR procedure should support for UEs to read and report the neighboring NR cell’s Global identifier (GID), TAC and all available PLMN ID(s) to aid neighbor relation establishment.</w:t>
      </w:r>
    </w:p>
    <w:p w14:paraId="4F3D1ECA" w14:textId="77777777" w:rsidR="00F507D1" w:rsidRPr="00CE0424" w:rsidRDefault="00F507D1" w:rsidP="00CE0424">
      <w:pPr>
        <w:pStyle w:val="Heading1"/>
      </w:pPr>
      <w:bookmarkStart w:id="3" w:name="_In-sequence_SDU_delivery"/>
      <w:bookmarkEnd w:id="3"/>
      <w:r w:rsidRPr="00CE0424">
        <w:lastRenderedPageBreak/>
        <w:t>References</w:t>
      </w:r>
    </w:p>
    <w:p w14:paraId="77132D2E" w14:textId="77777777" w:rsidR="00081D62" w:rsidRPr="00313D3B" w:rsidRDefault="00081D62" w:rsidP="00081D62">
      <w:pPr>
        <w:pStyle w:val="Reference"/>
        <w:rPr>
          <w:rFonts w:cs="Arial"/>
        </w:rPr>
      </w:pPr>
      <w:bookmarkStart w:id="4" w:name="_Ref456254943"/>
      <w:bookmarkStart w:id="5" w:name="_Ref456256904"/>
      <w:bookmarkStart w:id="6" w:name="_Ref455126129"/>
      <w:bookmarkStart w:id="7" w:name="_Ref174151459"/>
      <w:bookmarkStart w:id="8" w:name="_Ref189809556"/>
      <w:bookmarkStart w:id="9" w:name="_Ref458687908"/>
      <w:r w:rsidRPr="00313D3B">
        <w:t>3GPP TS 36.300</w:t>
      </w:r>
      <w:r>
        <w:t xml:space="preserve"> V13.4.0 (2016-06), “Evolved Universal Terrestrial Radio Access (E-UTRA) and Evolved Universal Terrestrial Radio Access Network (E-UTRAN); Overall description”</w:t>
      </w:r>
      <w:bookmarkEnd w:id="4"/>
      <w:bookmarkEnd w:id="5"/>
    </w:p>
    <w:p w14:paraId="0B8BECB2" w14:textId="57C557C5" w:rsidR="008B6D83" w:rsidRPr="00010E3F" w:rsidRDefault="00081D62" w:rsidP="00010E3F">
      <w:pPr>
        <w:pStyle w:val="Reference"/>
        <w:spacing w:line="276" w:lineRule="auto"/>
        <w:rPr>
          <w:rFonts w:cs="Arial"/>
        </w:rPr>
      </w:pPr>
      <w:bookmarkStart w:id="10" w:name="_Ref456255044"/>
      <w:r w:rsidRPr="00313D3B">
        <w:rPr>
          <w:rFonts w:cs="Arial"/>
        </w:rPr>
        <w:t>A. Dahlén, A. Johansson, F. Gunnarsson, J. Moe, T. Rimhagen, H. Kallin, ”Evaluations of LTE Automatic Neighbor Relations”, in Proc. IWSON at VTC Spring, Budapest, Hungary, 2011.</w:t>
      </w:r>
      <w:bookmarkEnd w:id="6"/>
      <w:bookmarkEnd w:id="7"/>
      <w:bookmarkEnd w:id="8"/>
      <w:bookmarkEnd w:id="9"/>
      <w:bookmarkEnd w:id="10"/>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0E2CD" w14:textId="77777777" w:rsidR="00DC6963" w:rsidRDefault="00DC6963">
      <w:r>
        <w:separator/>
      </w:r>
    </w:p>
  </w:endnote>
  <w:endnote w:type="continuationSeparator" w:id="0">
    <w:p w14:paraId="04FB902C" w14:textId="77777777" w:rsidR="00DC6963" w:rsidRDefault="00DC6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40642DBB"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103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103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A7E7F" w14:textId="77777777" w:rsidR="00DC6963" w:rsidRDefault="00DC6963">
      <w:r>
        <w:separator/>
      </w:r>
    </w:p>
  </w:footnote>
  <w:footnote w:type="continuationSeparator" w:id="0">
    <w:p w14:paraId="3C1AFCBF" w14:textId="77777777" w:rsidR="00DC6963" w:rsidRDefault="00DC6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8"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20"/>
  </w:num>
  <w:num w:numId="5">
    <w:abstractNumId w:val="14"/>
  </w:num>
  <w:num w:numId="6">
    <w:abstractNumId w:val="22"/>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5"/>
  </w:num>
  <w:num w:numId="17">
    <w:abstractNumId w:val="27"/>
  </w:num>
  <w:num w:numId="18">
    <w:abstractNumId w:val="12"/>
  </w:num>
  <w:num w:numId="19">
    <w:abstractNumId w:val="17"/>
  </w:num>
  <w:num w:numId="20">
    <w:abstractNumId w:val="32"/>
  </w:num>
  <w:num w:numId="21">
    <w:abstractNumId w:val="5"/>
  </w:num>
  <w:num w:numId="22">
    <w:abstractNumId w:val="36"/>
  </w:num>
  <w:num w:numId="23">
    <w:abstractNumId w:val="34"/>
  </w:num>
  <w:num w:numId="24">
    <w:abstractNumId w:val="10"/>
  </w:num>
  <w:num w:numId="25">
    <w:abstractNumId w:val="33"/>
  </w:num>
  <w:num w:numId="26">
    <w:abstractNumId w:val="17"/>
    <w:lvlOverride w:ilvl="0">
      <w:startOverride w:val="1"/>
    </w:lvlOverride>
  </w:num>
  <w:num w:numId="27">
    <w:abstractNumId w:val="30"/>
  </w:num>
  <w:num w:numId="28">
    <w:abstractNumId w:val="19"/>
  </w:num>
  <w:num w:numId="29">
    <w:abstractNumId w:val="21"/>
  </w:num>
  <w:num w:numId="30">
    <w:abstractNumId w:val="11"/>
  </w:num>
  <w:num w:numId="31">
    <w:abstractNumId w:val="23"/>
  </w:num>
  <w:num w:numId="32">
    <w:abstractNumId w:val="4"/>
  </w:num>
  <w:num w:numId="33">
    <w:abstractNumId w:val="24"/>
  </w:num>
  <w:num w:numId="34">
    <w:abstractNumId w:val="9"/>
  </w:num>
  <w:num w:numId="35">
    <w:abstractNumId w:val="7"/>
  </w:num>
  <w:num w:numId="36">
    <w:abstractNumId w:val="18"/>
  </w:num>
  <w:num w:numId="37">
    <w:abstractNumId w:val="17"/>
    <w:lvlOverride w:ilvl="0">
      <w:startOverride w:val="1"/>
    </w:lvlOverride>
  </w:num>
  <w:num w:numId="38">
    <w:abstractNumId w:val="28"/>
  </w:num>
  <w:num w:numId="39">
    <w:abstractNumId w:val="8"/>
  </w:num>
  <w:num w:numId="40">
    <w:abstractNumId w:val="31"/>
  </w:num>
  <w:num w:numId="41">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C99"/>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3180"/>
    <w:rsid w:val="003742AC"/>
    <w:rsid w:val="00377CE1"/>
    <w:rsid w:val="003806FB"/>
    <w:rsid w:val="00385BF0"/>
    <w:rsid w:val="0039042B"/>
    <w:rsid w:val="003939FF"/>
    <w:rsid w:val="003A2223"/>
    <w:rsid w:val="003A2A0F"/>
    <w:rsid w:val="003A45A1"/>
    <w:rsid w:val="003A5B0A"/>
    <w:rsid w:val="003A6BAC"/>
    <w:rsid w:val="003A7EF3"/>
    <w:rsid w:val="003B159C"/>
    <w:rsid w:val="003B369F"/>
    <w:rsid w:val="003B36A3"/>
    <w:rsid w:val="003B46C4"/>
    <w:rsid w:val="003B5DF1"/>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5A09"/>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6B1A"/>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19E2"/>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5EC9"/>
    <w:rsid w:val="006C6059"/>
    <w:rsid w:val="006C7391"/>
    <w:rsid w:val="006C7522"/>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64C"/>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921"/>
    <w:rsid w:val="00961B10"/>
    <w:rsid w:val="0096430A"/>
    <w:rsid w:val="0096554B"/>
    <w:rsid w:val="0096584A"/>
    <w:rsid w:val="00967F8A"/>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2AD4"/>
    <w:rsid w:val="009D2B94"/>
    <w:rsid w:val="009D4FF0"/>
    <w:rsid w:val="009D703C"/>
    <w:rsid w:val="009D718F"/>
    <w:rsid w:val="009E068F"/>
    <w:rsid w:val="009E14E0"/>
    <w:rsid w:val="009E1C05"/>
    <w:rsid w:val="009E35DB"/>
    <w:rsid w:val="009E47A3"/>
    <w:rsid w:val="009E67CE"/>
    <w:rsid w:val="009F08F3"/>
    <w:rsid w:val="009F344F"/>
    <w:rsid w:val="00A048A8"/>
    <w:rsid w:val="00A04F49"/>
    <w:rsid w:val="00A078FE"/>
    <w:rsid w:val="00A0792F"/>
    <w:rsid w:val="00A13E54"/>
    <w:rsid w:val="00A14B31"/>
    <w:rsid w:val="00A17094"/>
    <w:rsid w:val="00A176D6"/>
    <w:rsid w:val="00A17F63"/>
    <w:rsid w:val="00A2193B"/>
    <w:rsid w:val="00A2351A"/>
    <w:rsid w:val="00A264A9"/>
    <w:rsid w:val="00A26831"/>
    <w:rsid w:val="00A27785"/>
    <w:rsid w:val="00A30187"/>
    <w:rsid w:val="00A30A42"/>
    <w:rsid w:val="00A3448A"/>
    <w:rsid w:val="00A34CCD"/>
    <w:rsid w:val="00A36297"/>
    <w:rsid w:val="00A41E2B"/>
    <w:rsid w:val="00A45B7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B50"/>
    <w:rsid w:val="00B6045F"/>
    <w:rsid w:val="00B62AAA"/>
    <w:rsid w:val="00B664C7"/>
    <w:rsid w:val="00B66689"/>
    <w:rsid w:val="00B70298"/>
    <w:rsid w:val="00B7155D"/>
    <w:rsid w:val="00B739F6"/>
    <w:rsid w:val="00B756D5"/>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47863"/>
    <w:rsid w:val="00C54995"/>
    <w:rsid w:val="00C54D41"/>
    <w:rsid w:val="00C60783"/>
    <w:rsid w:val="00C64672"/>
    <w:rsid w:val="00C70697"/>
    <w:rsid w:val="00C711E3"/>
    <w:rsid w:val="00C715D4"/>
    <w:rsid w:val="00C72EF4"/>
    <w:rsid w:val="00C75D2F"/>
    <w:rsid w:val="00C767BE"/>
    <w:rsid w:val="00C76963"/>
    <w:rsid w:val="00C76C63"/>
    <w:rsid w:val="00C76E3C"/>
    <w:rsid w:val="00C81568"/>
    <w:rsid w:val="00C81E56"/>
    <w:rsid w:val="00C85664"/>
    <w:rsid w:val="00C9027A"/>
    <w:rsid w:val="00C9068E"/>
    <w:rsid w:val="00C91811"/>
    <w:rsid w:val="00C91A48"/>
    <w:rsid w:val="00C93C4B"/>
    <w:rsid w:val="00C944AB"/>
    <w:rsid w:val="00C9566F"/>
    <w:rsid w:val="00C95B40"/>
    <w:rsid w:val="00CA1ED8"/>
    <w:rsid w:val="00CA330C"/>
    <w:rsid w:val="00CA3F64"/>
    <w:rsid w:val="00CB1F63"/>
    <w:rsid w:val="00CB27CF"/>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C6963"/>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5487"/>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E3B"/>
    <w:rsid w:val="00E57565"/>
    <w:rsid w:val="00E5780A"/>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E3501"/>
    <w:rsid w:val="00EE5985"/>
    <w:rsid w:val="00EE5C1E"/>
    <w:rsid w:val="00EF18FE"/>
    <w:rsid w:val="00EF4FF6"/>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5NUHHDQN7SK2-1-179666</_dlc_DocId>
    <TaxCatchAll xmlns="08b2df90-05d3-4030-90d4-c9feeb4a1cd9">
      <Value>10</Value>
      <Value>9</Value>
      <Value>8</Value>
      <Value>3</Value>
      <Value>1</Value>
    </TaxCatchAll>
    <_dlc_DocIdUrl xmlns="08b2df90-05d3-4030-90d4-c9feeb4a1cd9">
      <Url>https://ericoll.internal.ericsson.com/sites/star/_layouts/DocIdRedir.aspx?ID=5NUHHDQN7SK2-1-179666</Url>
      <Description>5NUHHDQN7SK2-1-179666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3.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4.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5.xml><?xml version="1.0" encoding="utf-8"?>
<ds:datastoreItem xmlns:ds="http://schemas.openxmlformats.org/officeDocument/2006/customXml" ds:itemID="{96CEE06E-466E-406D-A8DB-B7486FADF859}">
  <ds:schemaRefs>
    <ds:schemaRef ds:uri="http://schemas.microsoft.com/office/2006/documentManagement/types"/>
    <ds:schemaRef ds:uri="http://www.w3.org/XML/1998/namespace"/>
    <ds:schemaRef ds:uri="http://schemas.microsoft.com/office/2006/metadata/properties"/>
    <ds:schemaRef ds:uri="http://purl.org/dc/dcmitype/"/>
    <ds:schemaRef ds:uri="08b2df90-05d3-4030-90d4-c9feeb4a1cd9"/>
    <ds:schemaRef ds:uri="http://purl.org/dc/terms/"/>
    <ds:schemaRef ds:uri="http://schemas.microsoft.com/office/infopath/2007/PartnerControls"/>
    <ds:schemaRef ds:uri="http://purl.org/dc/elements/1.1/"/>
    <ds:schemaRef ds:uri="http://schemas.openxmlformats.org/package/2006/metadata/core-properties"/>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9B824DEF-A457-4993-A301-FA093F60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2</cp:revision>
  <cp:lastPrinted>2016-08-03T08:58:00Z</cp:lastPrinted>
  <dcterms:created xsi:type="dcterms:W3CDTF">2017-08-11T20:14:00Z</dcterms:created>
  <dcterms:modified xsi:type="dcterms:W3CDTF">2017-08-11T20:14:00Z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2f14ee42-3a78-47bc-8dbb-e08522877e4a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